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88" w:rsidRPr="00CC6788" w:rsidRDefault="00CC6788" w:rsidP="00CC6788">
      <w:pPr>
        <w:rPr>
          <w:b/>
          <w:iCs/>
        </w:rPr>
      </w:pPr>
      <w:r>
        <w:rPr>
          <w:b/>
          <w:iCs/>
          <w:noProof/>
          <w:lang w:eastAsia="de-DE"/>
        </w:rPr>
        <w:drawing>
          <wp:anchor distT="0" distB="0" distL="114300" distR="114300" simplePos="0" relativeHeight="251658240" behindDoc="0" locked="0" layoutInCell="1" allowOverlap="1">
            <wp:simplePos x="904875" y="723900"/>
            <wp:positionH relativeFrom="margin">
              <wp:align>center</wp:align>
            </wp:positionH>
            <wp:positionV relativeFrom="margin">
              <wp:align>top</wp:align>
            </wp:positionV>
            <wp:extent cx="2663769" cy="523875"/>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ereinswelt.png"/>
                    <pic:cNvPicPr/>
                  </pic:nvPicPr>
                  <pic:blipFill>
                    <a:blip r:embed="rId8">
                      <a:extLst>
                        <a:ext uri="{28A0092B-C50C-407E-A947-70E740481C1C}">
                          <a14:useLocalDpi xmlns:a14="http://schemas.microsoft.com/office/drawing/2010/main" val="0"/>
                        </a:ext>
                      </a:extLst>
                    </a:blip>
                    <a:stretch>
                      <a:fillRect/>
                    </a:stretch>
                  </pic:blipFill>
                  <pic:spPr>
                    <a:xfrm>
                      <a:off x="0" y="0"/>
                      <a:ext cx="2663769" cy="523875"/>
                    </a:xfrm>
                    <a:prstGeom prst="rect">
                      <a:avLst/>
                    </a:prstGeom>
                  </pic:spPr>
                </pic:pic>
              </a:graphicData>
            </a:graphic>
          </wp:anchor>
        </w:drawing>
      </w:r>
    </w:p>
    <w:p w:rsidR="00CC6788" w:rsidRDefault="00CC6788" w:rsidP="00CC6788">
      <w:pPr>
        <w:rPr>
          <w:iCs/>
        </w:rPr>
      </w:pPr>
    </w:p>
    <w:p w:rsidR="00257F68" w:rsidRDefault="00257F68" w:rsidP="00A225FF">
      <w:pPr>
        <w:pStyle w:val="03Grundschrift9"/>
        <w:spacing w:before="120" w:after="120"/>
        <w:rPr>
          <w:rFonts w:asciiTheme="minorHAnsi" w:eastAsia="Times New Roman" w:hAnsiTheme="minorHAnsi"/>
          <w:b/>
          <w:bCs/>
          <w:sz w:val="24"/>
          <w:szCs w:val="24"/>
          <w:lang w:eastAsia="de-DE"/>
        </w:rPr>
      </w:pPr>
      <w:r w:rsidRPr="00A225FF">
        <w:rPr>
          <w:rFonts w:asciiTheme="minorHAnsi" w:eastAsia="Times New Roman" w:hAnsiTheme="minorHAnsi"/>
          <w:b/>
          <w:bCs/>
          <w:sz w:val="24"/>
          <w:szCs w:val="24"/>
          <w:lang w:eastAsia="de-DE"/>
        </w:rPr>
        <w:t xml:space="preserve">Das ist bei der Organisation </w:t>
      </w:r>
      <w:r>
        <w:rPr>
          <w:rFonts w:asciiTheme="minorHAnsi" w:eastAsia="Times New Roman" w:hAnsiTheme="minorHAnsi"/>
          <w:b/>
          <w:bCs/>
          <w:sz w:val="24"/>
          <w:szCs w:val="24"/>
          <w:lang w:eastAsia="de-DE"/>
        </w:rPr>
        <w:t xml:space="preserve">einer </w:t>
      </w:r>
      <w:r w:rsidRPr="00A225FF">
        <w:rPr>
          <w:rFonts w:asciiTheme="minorHAnsi" w:eastAsia="Times New Roman" w:hAnsiTheme="minorHAnsi"/>
          <w:b/>
          <w:bCs/>
          <w:sz w:val="24"/>
          <w:szCs w:val="24"/>
          <w:lang w:eastAsia="de-DE"/>
        </w:rPr>
        <w:t>Vereinsgemeinschaft zu beachten</w:t>
      </w:r>
    </w:p>
    <w:p w:rsidR="00257F68" w:rsidRPr="00257F68" w:rsidRDefault="00257F68" w:rsidP="00A225FF">
      <w:pPr>
        <w:pStyle w:val="03Grundschrift9"/>
        <w:spacing w:before="120" w:after="120"/>
        <w:rPr>
          <w:rFonts w:asciiTheme="minorHAnsi" w:hAnsiTheme="minorHAnsi"/>
          <w:iCs/>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8789"/>
        <w:gridCol w:w="992"/>
      </w:tblGrid>
      <w:tr w:rsidR="00A225FF" w:rsidRPr="00A225FF" w:rsidTr="00257F68">
        <w:trPr>
          <w:trHeight w:val="315"/>
        </w:trPr>
        <w:tc>
          <w:tcPr>
            <w:tcW w:w="9781" w:type="dxa"/>
            <w:gridSpan w:val="2"/>
            <w:shd w:val="clear" w:color="auto" w:fill="808080" w:themeFill="background1" w:themeFillShade="80"/>
            <w:vAlign w:val="bottom"/>
            <w:hideMark/>
          </w:tcPr>
          <w:p w:rsidR="00A225FF" w:rsidRPr="00A225FF" w:rsidRDefault="00A225FF" w:rsidP="00A225FF">
            <w:pPr>
              <w:spacing w:after="0" w:line="240" w:lineRule="auto"/>
              <w:rPr>
                <w:rFonts w:eastAsia="Times New Roman"/>
                <w:b/>
                <w:bCs/>
                <w:color w:val="000000"/>
                <w:sz w:val="24"/>
                <w:szCs w:val="24"/>
                <w:lang w:eastAsia="de-DE"/>
              </w:rPr>
            </w:pPr>
            <w:r w:rsidRPr="00A225FF">
              <w:rPr>
                <w:rFonts w:eastAsia="Times New Roman"/>
                <w:b/>
                <w:bCs/>
                <w:color w:val="FFFFFF" w:themeColor="background1"/>
                <w:sz w:val="28"/>
                <w:szCs w:val="24"/>
                <w:lang w:eastAsia="de-DE"/>
              </w:rPr>
              <w:t>Checkliste: Das ist bei der Organisation</w:t>
            </w:r>
            <w:r w:rsidR="00257F68">
              <w:rPr>
                <w:rFonts w:eastAsia="Times New Roman"/>
                <w:b/>
                <w:bCs/>
                <w:color w:val="FFFFFF" w:themeColor="background1"/>
                <w:sz w:val="28"/>
                <w:szCs w:val="24"/>
                <w:lang w:eastAsia="de-DE"/>
              </w:rPr>
              <w:t xml:space="preserve"> einer</w:t>
            </w:r>
            <w:r w:rsidRPr="00A225FF">
              <w:rPr>
                <w:rFonts w:eastAsia="Times New Roman"/>
                <w:b/>
                <w:bCs/>
                <w:color w:val="FFFFFF" w:themeColor="background1"/>
                <w:sz w:val="28"/>
                <w:szCs w:val="24"/>
                <w:lang w:eastAsia="de-DE"/>
              </w:rPr>
              <w:t xml:space="preserve"> Vereinsgemeinschaft zu beachten</w:t>
            </w:r>
          </w:p>
        </w:tc>
      </w:tr>
      <w:tr w:rsidR="00A225FF" w:rsidRPr="00A225FF" w:rsidTr="00257F68">
        <w:trPr>
          <w:trHeight w:val="315"/>
        </w:trPr>
        <w:tc>
          <w:tcPr>
            <w:tcW w:w="8789" w:type="dxa"/>
            <w:shd w:val="clear" w:color="auto" w:fill="BFBFBF" w:themeFill="background1" w:themeFillShade="BF"/>
            <w:vAlign w:val="center"/>
            <w:hideMark/>
          </w:tcPr>
          <w:p w:rsidR="00A225FF" w:rsidRPr="00A225FF" w:rsidRDefault="00A225FF" w:rsidP="00257F68">
            <w:pPr>
              <w:spacing w:after="0" w:line="240" w:lineRule="auto"/>
              <w:rPr>
                <w:rFonts w:eastAsia="Times New Roman"/>
                <w:b/>
                <w:bCs/>
                <w:color w:val="000000"/>
                <w:sz w:val="24"/>
                <w:szCs w:val="24"/>
                <w:lang w:eastAsia="de-DE"/>
              </w:rPr>
            </w:pPr>
            <w:r w:rsidRPr="00A225FF">
              <w:rPr>
                <w:rFonts w:eastAsia="Times New Roman"/>
                <w:b/>
                <w:bCs/>
                <w:color w:val="000000"/>
                <w:sz w:val="24"/>
                <w:szCs w:val="24"/>
                <w:lang w:eastAsia="de-DE"/>
              </w:rPr>
              <w:t>Organisation</w:t>
            </w:r>
          </w:p>
        </w:tc>
        <w:tc>
          <w:tcPr>
            <w:tcW w:w="992" w:type="dxa"/>
            <w:shd w:val="clear" w:color="auto" w:fill="D9D9D9" w:themeFill="background1" w:themeFillShade="D9"/>
            <w:vAlign w:val="bottom"/>
            <w:hideMark/>
          </w:tcPr>
          <w:p w:rsidR="00A225FF" w:rsidRPr="00A225FF" w:rsidRDefault="00A225FF" w:rsidP="00A225FF">
            <w:pPr>
              <w:spacing w:after="0" w:line="240" w:lineRule="auto"/>
              <w:rPr>
                <w:rFonts w:eastAsia="Times New Roman"/>
                <w:b/>
                <w:bCs/>
                <w:color w:val="000000"/>
                <w:sz w:val="24"/>
                <w:szCs w:val="24"/>
                <w:lang w:eastAsia="de-DE"/>
              </w:rPr>
            </w:pPr>
            <w:r w:rsidRPr="00A225FF">
              <w:rPr>
                <w:rFonts w:eastAsia="Times New Roman"/>
                <w:b/>
                <w:bCs/>
                <w:color w:val="000000"/>
                <w:sz w:val="24"/>
                <w:szCs w:val="24"/>
                <w:lang w:eastAsia="de-DE"/>
              </w:rPr>
              <w:t>erledigt</w:t>
            </w:r>
          </w:p>
        </w:tc>
      </w:tr>
      <w:tr w:rsidR="00A225FF" w:rsidRPr="00A225FF" w:rsidTr="00257F68">
        <w:trPr>
          <w:trHeight w:val="315"/>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Ernennen Sie ein Projektteam für:</w:t>
            </w:r>
          </w:p>
        </w:tc>
        <w:tc>
          <w:tcPr>
            <w:tcW w:w="992"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 </w:t>
            </w:r>
          </w:p>
        </w:tc>
      </w:tr>
      <w:tr w:rsidR="00A225FF" w:rsidRPr="00A225FF" w:rsidTr="00257F68">
        <w:trPr>
          <w:trHeight w:val="315"/>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16"/>
                <w:szCs w:val="16"/>
                <w:lang w:eastAsia="de-DE"/>
              </w:rPr>
            </w:pPr>
            <w:r w:rsidRPr="00A225FF">
              <w:rPr>
                <w:rFonts w:eastAsia="Times New Roman"/>
                <w:color w:val="000000"/>
                <w:sz w:val="16"/>
                <w:szCs w:val="16"/>
                <w:lang w:eastAsia="de-DE"/>
              </w:rPr>
              <w:t>-</w:t>
            </w:r>
            <w:r w:rsidRPr="00A225FF">
              <w:rPr>
                <w:rFonts w:ascii="Times New Roman" w:eastAsia="Times New Roman" w:hAnsi="Times New Roman"/>
                <w:color w:val="000000"/>
                <w:sz w:val="14"/>
                <w:szCs w:val="14"/>
                <w:lang w:eastAsia="de-DE"/>
              </w:rPr>
              <w:t xml:space="preserve">          </w:t>
            </w:r>
            <w:r w:rsidRPr="00A225FF">
              <w:rPr>
                <w:rFonts w:eastAsia="Times New Roman"/>
                <w:color w:val="000000"/>
                <w:sz w:val="24"/>
                <w:szCs w:val="24"/>
                <w:lang w:eastAsia="de-DE"/>
              </w:rPr>
              <w:t>Abwicklung der finanziellen Schritte</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eastAsia="Times New Roman"/>
                <w:color w:val="000000"/>
                <w:sz w:val="24"/>
                <w:szCs w:val="24"/>
                <w:lang w:eastAsia="de-DE"/>
              </w:rPr>
            </w:pPr>
            <w:r>
              <w:rPr>
                <w:rFonts w:ascii="Wingdings" w:hAnsi="Wingdings"/>
                <w:b/>
                <w:lang w:bidi="en-US"/>
              </w:rPr>
              <w:t></w:t>
            </w:r>
          </w:p>
        </w:tc>
      </w:tr>
      <w:tr w:rsidR="00A225FF" w:rsidRPr="00A225FF" w:rsidTr="00257F68">
        <w:trPr>
          <w:trHeight w:val="652"/>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16"/>
                <w:szCs w:val="16"/>
                <w:lang w:eastAsia="de-DE"/>
              </w:rPr>
            </w:pPr>
            <w:r w:rsidRPr="00A225FF">
              <w:rPr>
                <w:rFonts w:eastAsia="Times New Roman"/>
                <w:color w:val="000000"/>
                <w:sz w:val="16"/>
                <w:szCs w:val="16"/>
                <w:lang w:eastAsia="de-DE"/>
              </w:rPr>
              <w:t>-</w:t>
            </w:r>
            <w:r w:rsidRPr="00A225FF">
              <w:rPr>
                <w:rFonts w:ascii="Times New Roman" w:eastAsia="Times New Roman" w:hAnsi="Times New Roman"/>
                <w:color w:val="000000"/>
                <w:sz w:val="14"/>
                <w:szCs w:val="14"/>
                <w:lang w:eastAsia="de-DE"/>
              </w:rPr>
              <w:t xml:space="preserve">          </w:t>
            </w:r>
            <w:r w:rsidRPr="00A225FF">
              <w:rPr>
                <w:rFonts w:eastAsia="Times New Roman"/>
                <w:color w:val="000000"/>
                <w:sz w:val="24"/>
                <w:szCs w:val="24"/>
                <w:lang w:eastAsia="de-DE"/>
              </w:rPr>
              <w:t>Organisation der nötigen Maßnahmen (Einholung behördlicher Genehmigungen, frühzeitige Benachrichtigung der Rettungsdienste, Poli</w:t>
            </w:r>
            <w:bookmarkStart w:id="0" w:name="_GoBack"/>
            <w:bookmarkEnd w:id="0"/>
            <w:r w:rsidRPr="00A225FF">
              <w:rPr>
                <w:rFonts w:eastAsia="Times New Roman"/>
                <w:color w:val="000000"/>
                <w:sz w:val="24"/>
                <w:szCs w:val="24"/>
                <w:lang w:eastAsia="de-DE"/>
              </w:rPr>
              <w:t>zei, Notarzt etc.)</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eastAsia="Times New Roman"/>
                <w:color w:val="000000"/>
                <w:sz w:val="24"/>
                <w:szCs w:val="24"/>
                <w:lang w:eastAsia="de-DE"/>
              </w:rPr>
            </w:pPr>
            <w:r>
              <w:rPr>
                <w:rFonts w:ascii="Wingdings" w:hAnsi="Wingdings"/>
                <w:b/>
                <w:lang w:bidi="en-US"/>
              </w:rPr>
              <w:t></w:t>
            </w:r>
          </w:p>
        </w:tc>
      </w:tr>
      <w:tr w:rsidR="00A225FF" w:rsidRPr="00A225FF" w:rsidTr="00257F68">
        <w:trPr>
          <w:trHeight w:val="650"/>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Holen Sie die Aufführungsgenehmigung der GEMA ein. Da die Vereinsgemeinschaft als Veranstalter auftritt, besteht für Sie die Verpflichtung, die Genehmigung zu beantragen.</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eastAsia="Times New Roman"/>
                <w:color w:val="000000"/>
                <w:sz w:val="24"/>
                <w:szCs w:val="24"/>
                <w:lang w:eastAsia="de-DE"/>
              </w:rPr>
            </w:pPr>
            <w:r>
              <w:rPr>
                <w:rFonts w:ascii="Wingdings" w:hAnsi="Wingdings"/>
                <w:b/>
                <w:lang w:bidi="en-US"/>
              </w:rPr>
              <w:t></w:t>
            </w:r>
          </w:p>
        </w:tc>
      </w:tr>
      <w:tr w:rsidR="00257F68" w:rsidRPr="00A225FF" w:rsidTr="00257F68">
        <w:trPr>
          <w:trHeight w:val="381"/>
        </w:trPr>
        <w:tc>
          <w:tcPr>
            <w:tcW w:w="9781" w:type="dxa"/>
            <w:gridSpan w:val="2"/>
            <w:shd w:val="clear" w:color="auto" w:fill="BFBFBF" w:themeFill="background1" w:themeFillShade="BF"/>
            <w:vAlign w:val="center"/>
            <w:hideMark/>
          </w:tcPr>
          <w:p w:rsidR="00257F68" w:rsidRPr="00A225FF" w:rsidRDefault="00257F68" w:rsidP="00257F68">
            <w:pPr>
              <w:spacing w:after="0" w:line="240" w:lineRule="auto"/>
              <w:rPr>
                <w:rFonts w:eastAsia="Times New Roman"/>
                <w:color w:val="000000"/>
                <w:sz w:val="24"/>
                <w:szCs w:val="24"/>
                <w:lang w:eastAsia="de-DE"/>
              </w:rPr>
            </w:pPr>
            <w:r w:rsidRPr="00A225FF">
              <w:rPr>
                <w:rFonts w:eastAsia="Times New Roman"/>
                <w:b/>
                <w:bCs/>
                <w:color w:val="000000"/>
                <w:sz w:val="24"/>
                <w:szCs w:val="24"/>
                <w:lang w:eastAsia="de-DE"/>
              </w:rPr>
              <w:t>Finanzen</w:t>
            </w:r>
          </w:p>
        </w:tc>
      </w:tr>
      <w:tr w:rsidR="00A225FF" w:rsidRPr="00A225FF" w:rsidTr="00257F68">
        <w:trPr>
          <w:trHeight w:val="568"/>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Übertragen Sie die Buchführung der Vereinsgemeinsch</w:t>
            </w:r>
            <w:r w:rsidR="00257F68">
              <w:rPr>
                <w:rFonts w:eastAsia="Times New Roman"/>
                <w:color w:val="000000"/>
                <w:sz w:val="24"/>
                <w:szCs w:val="24"/>
                <w:lang w:eastAsia="de-DE"/>
              </w:rPr>
              <w:t>aft unbedingt einem langjährigen</w:t>
            </w:r>
            <w:r w:rsidRPr="00A225FF">
              <w:rPr>
                <w:rFonts w:eastAsia="Times New Roman"/>
                <w:color w:val="000000"/>
                <w:sz w:val="24"/>
                <w:szCs w:val="24"/>
                <w:lang w:eastAsia="de-DE"/>
              </w:rPr>
              <w:t xml:space="preserve"> und kompetenten Vereinskassierer</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eastAsia="Times New Roman"/>
                <w:color w:val="000000"/>
                <w:sz w:val="20"/>
                <w:szCs w:val="20"/>
                <w:lang w:eastAsia="de-DE"/>
              </w:rPr>
            </w:pPr>
            <w:r>
              <w:rPr>
                <w:rFonts w:ascii="Wingdings" w:hAnsi="Wingdings"/>
                <w:b/>
                <w:lang w:bidi="en-US"/>
              </w:rPr>
              <w:t></w:t>
            </w:r>
          </w:p>
        </w:tc>
      </w:tr>
      <w:tr w:rsidR="00A225FF" w:rsidRPr="00A225FF" w:rsidTr="00257F68">
        <w:trPr>
          <w:trHeight w:val="790"/>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Richten Sie für die Vereinsgemeinschaft ein eigenes Konto ein. Und ebenso wichtig: Nutzen Sie dieses Konto ausschließlich für die Kassenführung der Vereinsgemeinschaft.</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eastAsia="Times New Roman"/>
                <w:color w:val="000000"/>
                <w:sz w:val="20"/>
                <w:szCs w:val="20"/>
                <w:lang w:eastAsia="de-DE"/>
              </w:rPr>
            </w:pPr>
            <w:r>
              <w:rPr>
                <w:rFonts w:ascii="Wingdings" w:hAnsi="Wingdings"/>
                <w:b/>
                <w:lang w:bidi="en-US"/>
              </w:rPr>
              <w:t></w:t>
            </w:r>
          </w:p>
        </w:tc>
      </w:tr>
      <w:tr w:rsidR="00A225FF" w:rsidRPr="00A225FF" w:rsidTr="00257F68">
        <w:trPr>
          <w:trHeight w:val="576"/>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Erteilen Sie einem zuverlässigen Vereinsgemeinschaftsmitglied Kontovollmacht für dieses Konto.</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eastAsia="Times New Roman"/>
                <w:color w:val="000000"/>
                <w:sz w:val="20"/>
                <w:szCs w:val="20"/>
                <w:lang w:eastAsia="de-DE"/>
              </w:rPr>
            </w:pPr>
            <w:r>
              <w:rPr>
                <w:rFonts w:ascii="Wingdings" w:hAnsi="Wingdings"/>
                <w:b/>
                <w:lang w:bidi="en-US"/>
              </w:rPr>
              <w:t></w:t>
            </w:r>
          </w:p>
        </w:tc>
      </w:tr>
      <w:tr w:rsidR="00A225FF" w:rsidRPr="00A225FF" w:rsidTr="00257F68">
        <w:trPr>
          <w:trHeight w:val="1261"/>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Bei länger existierenden Vereinsgemeinschaften können Sie eventuell von der Zinsabschlagssteuer befreit werden. Dies erfolgt über einen Freistellungsauftrag und funktioniert nur, wenn Kapitalreserven gebildet werden. Sprechen Sie das im Bankgespräch an.</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eastAsia="Times New Roman"/>
                <w:color w:val="000000"/>
                <w:sz w:val="20"/>
                <w:szCs w:val="20"/>
                <w:lang w:eastAsia="de-DE"/>
              </w:rPr>
            </w:pPr>
            <w:r>
              <w:rPr>
                <w:rFonts w:ascii="Wingdings" w:hAnsi="Wingdings"/>
                <w:b/>
                <w:lang w:bidi="en-US"/>
              </w:rPr>
              <w:t></w:t>
            </w:r>
          </w:p>
        </w:tc>
      </w:tr>
      <w:tr w:rsidR="00A225FF" w:rsidRPr="00A225FF" w:rsidTr="00257F68">
        <w:trPr>
          <w:trHeight w:val="1185"/>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Bei großen Veranstaltungen mit entsprechenden Einnahmen empfiehlt es sich erfahrungsgemäß, einen Steuerberater hinzuzuziehen. Zumindest den Abschluss sollten Sie aber auf jeden Fall den Steuerberater machen lassen. Die Buchungen für die Vereinsgemeinschaft kann der dafür bestimmte Vereinskassierer übernehmen.</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eastAsia="Times New Roman"/>
                <w:color w:val="000000"/>
                <w:sz w:val="20"/>
                <w:szCs w:val="20"/>
                <w:lang w:eastAsia="de-DE"/>
              </w:rPr>
            </w:pPr>
            <w:r>
              <w:rPr>
                <w:rFonts w:ascii="Wingdings" w:hAnsi="Wingdings"/>
                <w:b/>
                <w:lang w:bidi="en-US"/>
              </w:rPr>
              <w:t></w:t>
            </w:r>
          </w:p>
        </w:tc>
      </w:tr>
      <w:tr w:rsidR="00257F68" w:rsidRPr="00A225FF" w:rsidTr="00257F68">
        <w:trPr>
          <w:trHeight w:val="315"/>
        </w:trPr>
        <w:tc>
          <w:tcPr>
            <w:tcW w:w="9781" w:type="dxa"/>
            <w:gridSpan w:val="2"/>
            <w:shd w:val="clear" w:color="auto" w:fill="BFBFBF" w:themeFill="background1" w:themeFillShade="BF"/>
            <w:vAlign w:val="center"/>
            <w:hideMark/>
          </w:tcPr>
          <w:p w:rsidR="00257F68" w:rsidRPr="00A225FF" w:rsidRDefault="00257F68" w:rsidP="00257F68">
            <w:pPr>
              <w:spacing w:after="0" w:line="240" w:lineRule="auto"/>
              <w:rPr>
                <w:rFonts w:eastAsia="Times New Roman"/>
                <w:color w:val="000000"/>
                <w:sz w:val="20"/>
                <w:szCs w:val="20"/>
                <w:lang w:eastAsia="de-DE"/>
              </w:rPr>
            </w:pPr>
            <w:r w:rsidRPr="00A225FF">
              <w:rPr>
                <w:rFonts w:eastAsia="Times New Roman"/>
                <w:b/>
                <w:bCs/>
                <w:color w:val="000000"/>
                <w:sz w:val="24"/>
                <w:szCs w:val="24"/>
                <w:lang w:eastAsia="de-DE"/>
              </w:rPr>
              <w:t>Tipp:</w:t>
            </w:r>
          </w:p>
        </w:tc>
      </w:tr>
      <w:tr w:rsidR="00A225FF" w:rsidRPr="00A225FF" w:rsidTr="00257F68">
        <w:trPr>
          <w:trHeight w:val="740"/>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Möchten Sie sich die Kosten für den Steuerberater ganz sparen, sollten Sie zumindest eine zusätzliche Kassenprüfung durchführen.</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eastAsia="Times New Roman"/>
                <w:color w:val="000000"/>
                <w:sz w:val="20"/>
                <w:szCs w:val="20"/>
                <w:lang w:eastAsia="de-DE"/>
              </w:rPr>
            </w:pPr>
            <w:r>
              <w:rPr>
                <w:rFonts w:ascii="Wingdings" w:hAnsi="Wingdings"/>
                <w:b/>
                <w:lang w:bidi="en-US"/>
              </w:rPr>
              <w:t></w:t>
            </w:r>
          </w:p>
        </w:tc>
      </w:tr>
      <w:tr w:rsidR="00A225FF" w:rsidRPr="00A225FF" w:rsidTr="00257F68">
        <w:trPr>
          <w:trHeight w:val="949"/>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Im Anschluss an die Festveranstaltung sollten Sie ein gemeinsames Zusammentreffen mit den Vereinsvorständen oder Vereinen organisieren, um die Ausschüttungen an die beteiligten Vereine abzusegnen.</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eastAsia="Times New Roman"/>
                <w:color w:val="000000"/>
                <w:sz w:val="20"/>
                <w:szCs w:val="20"/>
                <w:lang w:eastAsia="de-DE"/>
              </w:rPr>
            </w:pPr>
            <w:r>
              <w:rPr>
                <w:rFonts w:ascii="Wingdings" w:hAnsi="Wingdings"/>
                <w:b/>
                <w:lang w:bidi="en-US"/>
              </w:rPr>
              <w:t></w:t>
            </w:r>
          </w:p>
        </w:tc>
      </w:tr>
      <w:tr w:rsidR="00A225FF" w:rsidRPr="00A225FF" w:rsidTr="00257F68">
        <w:trPr>
          <w:trHeight w:val="486"/>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Vergessen Sie hierbei die Steuerrückstellungen, wie Umsatz- und Lohnsteuer, nicht!</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ascii="Symbol" w:eastAsia="Times New Roman" w:hAnsi="Symbol"/>
                <w:color w:val="000000"/>
                <w:sz w:val="20"/>
                <w:szCs w:val="20"/>
                <w:lang w:eastAsia="de-DE"/>
              </w:rPr>
            </w:pPr>
            <w:r>
              <w:rPr>
                <w:rFonts w:ascii="Wingdings" w:hAnsi="Wingdings"/>
                <w:b/>
                <w:lang w:bidi="en-US"/>
              </w:rPr>
              <w:t></w:t>
            </w:r>
          </w:p>
        </w:tc>
      </w:tr>
      <w:tr w:rsidR="00257F68" w:rsidRPr="00A225FF" w:rsidTr="00257F68">
        <w:trPr>
          <w:trHeight w:val="315"/>
        </w:trPr>
        <w:tc>
          <w:tcPr>
            <w:tcW w:w="9781" w:type="dxa"/>
            <w:gridSpan w:val="2"/>
            <w:shd w:val="clear" w:color="auto" w:fill="BFBFBF" w:themeFill="background1" w:themeFillShade="BF"/>
            <w:vAlign w:val="center"/>
            <w:hideMark/>
          </w:tcPr>
          <w:p w:rsidR="00257F68" w:rsidRPr="00A225FF" w:rsidRDefault="00257F68" w:rsidP="00257F68">
            <w:pPr>
              <w:spacing w:after="0" w:line="240" w:lineRule="auto"/>
              <w:rPr>
                <w:rFonts w:eastAsia="Times New Roman"/>
                <w:b/>
                <w:bCs/>
                <w:color w:val="000000"/>
                <w:sz w:val="24"/>
                <w:szCs w:val="24"/>
                <w:lang w:eastAsia="de-DE"/>
              </w:rPr>
            </w:pPr>
            <w:r w:rsidRPr="00A225FF">
              <w:rPr>
                <w:rFonts w:eastAsia="Times New Roman"/>
                <w:b/>
                <w:bCs/>
                <w:color w:val="000000"/>
                <w:sz w:val="24"/>
                <w:szCs w:val="24"/>
                <w:lang w:eastAsia="de-DE"/>
              </w:rPr>
              <w:t>Versicherung</w:t>
            </w:r>
          </w:p>
        </w:tc>
      </w:tr>
      <w:tr w:rsidR="00A225FF" w:rsidRPr="00A225FF" w:rsidTr="00257F68">
        <w:trPr>
          <w:trHeight w:val="352"/>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Schließen Sie für die Vereinsgemeinschaft eine Haftpflichtversicherung ab!</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ascii="Symbol" w:eastAsia="Times New Roman" w:hAnsi="Symbol"/>
                <w:color w:val="000000"/>
                <w:sz w:val="20"/>
                <w:szCs w:val="20"/>
                <w:lang w:eastAsia="de-DE"/>
              </w:rPr>
            </w:pPr>
            <w:r>
              <w:rPr>
                <w:rFonts w:ascii="Wingdings" w:hAnsi="Wingdings"/>
                <w:b/>
                <w:lang w:bidi="en-US"/>
              </w:rPr>
              <w:t></w:t>
            </w:r>
          </w:p>
        </w:tc>
      </w:tr>
      <w:tr w:rsidR="00A225FF" w:rsidRPr="00A225FF" w:rsidTr="00257F68">
        <w:trPr>
          <w:trHeight w:val="938"/>
        </w:trPr>
        <w:tc>
          <w:tcPr>
            <w:tcW w:w="8789" w:type="dxa"/>
            <w:shd w:val="clear" w:color="auto" w:fill="D9D9D9" w:themeFill="background1" w:themeFillShade="D9"/>
            <w:vAlign w:val="bottom"/>
            <w:hideMark/>
          </w:tcPr>
          <w:p w:rsidR="00A225FF" w:rsidRPr="00A225FF" w:rsidRDefault="00A225FF" w:rsidP="00A225FF">
            <w:pPr>
              <w:spacing w:after="0" w:line="240" w:lineRule="auto"/>
              <w:rPr>
                <w:rFonts w:eastAsia="Times New Roman"/>
                <w:color w:val="000000"/>
                <w:sz w:val="24"/>
                <w:szCs w:val="24"/>
                <w:lang w:eastAsia="de-DE"/>
              </w:rPr>
            </w:pPr>
            <w:r w:rsidRPr="00A225FF">
              <w:rPr>
                <w:rFonts w:eastAsia="Times New Roman"/>
                <w:color w:val="000000"/>
                <w:sz w:val="24"/>
                <w:szCs w:val="24"/>
                <w:lang w:eastAsia="de-DE"/>
              </w:rPr>
              <w:t>Sie können nicht auf eine bestehende Haftpflichtversicherung der beteiligten Vereine zurückgreifen. Der Grund: Die Vereinsgemeinschaft ist ein eigenständiges Unternehmen und damit ein selbstständiges Rechtssubjekt.</w:t>
            </w:r>
          </w:p>
        </w:tc>
        <w:tc>
          <w:tcPr>
            <w:tcW w:w="992" w:type="dxa"/>
            <w:shd w:val="clear" w:color="auto" w:fill="D9D9D9" w:themeFill="background1" w:themeFillShade="D9"/>
            <w:vAlign w:val="center"/>
            <w:hideMark/>
          </w:tcPr>
          <w:p w:rsidR="00A225FF" w:rsidRPr="00A225FF" w:rsidRDefault="00257F68" w:rsidP="00257F68">
            <w:pPr>
              <w:spacing w:after="0" w:line="240" w:lineRule="auto"/>
              <w:jc w:val="center"/>
              <w:rPr>
                <w:rFonts w:eastAsia="Times New Roman"/>
                <w:color w:val="000000"/>
                <w:sz w:val="20"/>
                <w:szCs w:val="20"/>
                <w:lang w:eastAsia="de-DE"/>
              </w:rPr>
            </w:pPr>
            <w:r>
              <w:rPr>
                <w:rFonts w:ascii="Wingdings" w:hAnsi="Wingdings"/>
                <w:b/>
                <w:lang w:bidi="en-US"/>
              </w:rPr>
              <w:t></w:t>
            </w:r>
          </w:p>
        </w:tc>
      </w:tr>
    </w:tbl>
    <w:p w:rsidR="00A225FF" w:rsidRPr="00A225FF" w:rsidRDefault="00A225FF" w:rsidP="00257F68">
      <w:pPr>
        <w:pStyle w:val="03Grundschrift9"/>
        <w:spacing w:before="120" w:after="120"/>
        <w:rPr>
          <w:rFonts w:asciiTheme="minorHAnsi" w:hAnsiTheme="minorHAnsi"/>
          <w:iCs/>
          <w:sz w:val="24"/>
          <w:szCs w:val="24"/>
        </w:rPr>
      </w:pPr>
    </w:p>
    <w:sectPr w:rsidR="00A225FF" w:rsidRPr="00A225FF" w:rsidSect="00A63CA9">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A7" w:rsidRDefault="007D63A7" w:rsidP="00CC6788">
      <w:pPr>
        <w:spacing w:after="0" w:line="240" w:lineRule="auto"/>
      </w:pPr>
      <w:r>
        <w:separator/>
      </w:r>
    </w:p>
  </w:endnote>
  <w:endnote w:type="continuationSeparator" w:id="0">
    <w:p w:rsidR="007D63A7" w:rsidRDefault="007D63A7" w:rsidP="00CC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83" w:rsidRPr="00DC4B3F" w:rsidRDefault="008F7C12" w:rsidP="00DC4B3F">
    <w:pPr>
      <w:jc w:val="center"/>
    </w:pPr>
    <w:r w:rsidRPr="00DC4B3F">
      <w:rPr>
        <w:rStyle w:val="postbody1"/>
        <w:rFonts w:ascii="Arial" w:hAnsi="Arial" w:cs="Arial"/>
        <w:sz w:val="20"/>
        <w:szCs w:val="20"/>
      </w:rPr>
      <w:t>© www.vereinswelt.de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A7" w:rsidRDefault="007D63A7" w:rsidP="00CC6788">
      <w:pPr>
        <w:spacing w:after="0" w:line="240" w:lineRule="auto"/>
      </w:pPr>
      <w:r>
        <w:separator/>
      </w:r>
    </w:p>
  </w:footnote>
  <w:footnote w:type="continuationSeparator" w:id="0">
    <w:p w:rsidR="007D63A7" w:rsidRDefault="007D63A7" w:rsidP="00CC6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77FE"/>
    <w:multiLevelType w:val="hybridMultilevel"/>
    <w:tmpl w:val="6DBEAE7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4C3E3D00"/>
    <w:multiLevelType w:val="hybridMultilevel"/>
    <w:tmpl w:val="3EB63F3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33793A"/>
    <w:multiLevelType w:val="hybridMultilevel"/>
    <w:tmpl w:val="C3C6F3B8"/>
    <w:lvl w:ilvl="0" w:tplc="0407000F">
      <w:start w:val="1"/>
      <w:numFmt w:val="decimal"/>
      <w:lvlText w:val="%1."/>
      <w:lvlJc w:val="left"/>
      <w:pPr>
        <w:ind w:left="720" w:hanging="360"/>
      </w:pPr>
    </w:lvl>
    <w:lvl w:ilvl="1" w:tplc="04070019">
      <w:start w:val="1"/>
      <w:numFmt w:val="lowerLetter"/>
      <w:lvlText w:val="%2."/>
      <w:lvlJc w:val="left"/>
      <w:pPr>
        <w:ind w:left="360" w:hanging="360"/>
      </w:pPr>
    </w:lvl>
    <w:lvl w:ilvl="2" w:tplc="0407001B">
      <w:start w:val="1"/>
      <w:numFmt w:val="lowerRoman"/>
      <w:lvlText w:val="%3."/>
      <w:lvlJc w:val="right"/>
      <w:pPr>
        <w:ind w:left="2160" w:hanging="180"/>
      </w:pPr>
    </w:lvl>
    <w:lvl w:ilvl="3" w:tplc="6BDA02EE">
      <w:start w:val="1"/>
      <w:numFmt w:val="lowerLetter"/>
      <w:lvlText w:val="%4.)"/>
      <w:lvlJc w:val="left"/>
      <w:pPr>
        <w:tabs>
          <w:tab w:val="num" w:pos="2880"/>
        </w:tabs>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88"/>
    <w:rsid w:val="00007A57"/>
    <w:rsid w:val="00195A11"/>
    <w:rsid w:val="00257F68"/>
    <w:rsid w:val="005072F1"/>
    <w:rsid w:val="0070460D"/>
    <w:rsid w:val="007D2802"/>
    <w:rsid w:val="007D63A7"/>
    <w:rsid w:val="008906BC"/>
    <w:rsid w:val="008D1DC8"/>
    <w:rsid w:val="008F34B1"/>
    <w:rsid w:val="008F7C12"/>
    <w:rsid w:val="00A225FF"/>
    <w:rsid w:val="00AB7830"/>
    <w:rsid w:val="00AD2022"/>
    <w:rsid w:val="00B65391"/>
    <w:rsid w:val="00CC6788"/>
    <w:rsid w:val="00DD0732"/>
    <w:rsid w:val="00DF0705"/>
    <w:rsid w:val="00F13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A61B"/>
  <w15:chartTrackingRefBased/>
  <w15:docId w15:val="{F9057115-E114-4C20-9E59-930A8B60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C6788"/>
    <w:pPr>
      <w:spacing w:after="200" w:line="276" w:lineRule="auto"/>
    </w:pPr>
    <w:rPr>
      <w:rFonts w:ascii="Calibri" w:eastAsia="Calibri" w:hAnsi="Calibri" w:cs="Times New Roman"/>
    </w:rPr>
  </w:style>
  <w:style w:type="paragraph" w:styleId="berschrift1">
    <w:name w:val="heading 1"/>
    <w:basedOn w:val="Standard"/>
    <w:next w:val="Standard"/>
    <w:link w:val="berschrift1Zchn"/>
    <w:qFormat/>
    <w:rsid w:val="00007A57"/>
    <w:pPr>
      <w:keepNext/>
      <w:spacing w:after="0" w:line="240" w:lineRule="auto"/>
      <w:jc w:val="center"/>
      <w:outlineLvl w:val="0"/>
    </w:pPr>
    <w:rPr>
      <w:rFonts w:ascii="Times New Roman" w:eastAsia="Times New Roman" w:hAnsi="Times New Roman"/>
      <w:b/>
      <w:bCs/>
      <w:sz w:val="32"/>
      <w:szCs w:val="24"/>
      <w:lang w:eastAsia="de-DE"/>
    </w:rPr>
  </w:style>
  <w:style w:type="paragraph" w:styleId="berschrift2">
    <w:name w:val="heading 2"/>
    <w:basedOn w:val="Standard"/>
    <w:next w:val="Standard"/>
    <w:link w:val="berschrift2Zchn"/>
    <w:qFormat/>
    <w:rsid w:val="00007A57"/>
    <w:pPr>
      <w:keepNext/>
      <w:spacing w:after="0" w:line="240" w:lineRule="auto"/>
      <w:outlineLvl w:val="1"/>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CC6788"/>
    <w:rPr>
      <w:sz w:val="12"/>
      <w:szCs w:val="12"/>
    </w:rPr>
  </w:style>
  <w:style w:type="paragraph" w:styleId="Kopfzeile">
    <w:name w:val="header"/>
    <w:basedOn w:val="Standard"/>
    <w:link w:val="KopfzeileZchn"/>
    <w:uiPriority w:val="99"/>
    <w:unhideWhenUsed/>
    <w:rsid w:val="00CC67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788"/>
    <w:rPr>
      <w:rFonts w:ascii="Calibri" w:eastAsia="Calibri" w:hAnsi="Calibri" w:cs="Times New Roman"/>
    </w:rPr>
  </w:style>
  <w:style w:type="paragraph" w:styleId="Fuzeile">
    <w:name w:val="footer"/>
    <w:basedOn w:val="Standard"/>
    <w:link w:val="FuzeileZchn"/>
    <w:uiPriority w:val="99"/>
    <w:unhideWhenUsed/>
    <w:rsid w:val="00CC67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788"/>
    <w:rPr>
      <w:rFonts w:ascii="Calibri" w:eastAsia="Calibri" w:hAnsi="Calibri" w:cs="Times New Roman"/>
    </w:rPr>
  </w:style>
  <w:style w:type="character" w:customStyle="1" w:styleId="berschrift1Zchn">
    <w:name w:val="Überschrift 1 Zchn"/>
    <w:basedOn w:val="Absatz-Standardschriftart"/>
    <w:link w:val="berschrift1"/>
    <w:rsid w:val="00007A57"/>
    <w:rPr>
      <w:rFonts w:ascii="Times New Roman" w:eastAsia="Times New Roman" w:hAnsi="Times New Roman" w:cs="Times New Roman"/>
      <w:b/>
      <w:bCs/>
      <w:sz w:val="32"/>
      <w:szCs w:val="24"/>
      <w:lang w:eastAsia="de-DE"/>
    </w:rPr>
  </w:style>
  <w:style w:type="character" w:customStyle="1" w:styleId="berschrift2Zchn">
    <w:name w:val="Überschrift 2 Zchn"/>
    <w:basedOn w:val="Absatz-Standardschriftart"/>
    <w:link w:val="berschrift2"/>
    <w:rsid w:val="00007A57"/>
    <w:rPr>
      <w:rFonts w:ascii="Times New Roman" w:eastAsia="Times New Roman" w:hAnsi="Times New Roman" w:cs="Times New Roman"/>
      <w:b/>
      <w:bCs/>
      <w:sz w:val="24"/>
      <w:szCs w:val="24"/>
      <w:lang w:eastAsia="de-DE"/>
    </w:rPr>
  </w:style>
  <w:style w:type="paragraph" w:customStyle="1" w:styleId="03Grundschrift9">
    <w:name w:val="03_Grundschrift_9"/>
    <w:rsid w:val="00B65391"/>
    <w:pPr>
      <w:suppressAutoHyphens/>
      <w:spacing w:after="0" w:line="240" w:lineRule="auto"/>
      <w:jc w:val="both"/>
    </w:pPr>
    <w:rPr>
      <w:rFonts w:ascii="Times New Roman" w:eastAsia="Arial" w:hAnsi="Times New Roman" w:cs="Swis721 BT"/>
      <w:sz w:val="19"/>
      <w:szCs w:val="20"/>
      <w:lang w:eastAsia="ar-SA"/>
    </w:rPr>
  </w:style>
  <w:style w:type="paragraph" w:styleId="Listenabsatz">
    <w:name w:val="List Paragraph"/>
    <w:basedOn w:val="Standard"/>
    <w:uiPriority w:val="34"/>
    <w:qFormat/>
    <w:rsid w:val="00F13B34"/>
    <w:pPr>
      <w:ind w:left="720"/>
      <w:contextualSpacing/>
    </w:pPr>
  </w:style>
  <w:style w:type="character" w:customStyle="1" w:styleId="font251">
    <w:name w:val="font251"/>
    <w:basedOn w:val="Absatz-Standardschriftart"/>
    <w:rsid w:val="00A225FF"/>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41">
    <w:name w:val="font241"/>
    <w:basedOn w:val="Absatz-Standardschriftart"/>
    <w:rsid w:val="00A225FF"/>
    <w:rPr>
      <w:rFonts w:ascii="Calibri" w:hAnsi="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9679">
      <w:bodyDiv w:val="1"/>
      <w:marLeft w:val="0"/>
      <w:marRight w:val="0"/>
      <w:marTop w:val="0"/>
      <w:marBottom w:val="0"/>
      <w:divBdr>
        <w:top w:val="none" w:sz="0" w:space="0" w:color="auto"/>
        <w:left w:val="none" w:sz="0" w:space="0" w:color="auto"/>
        <w:bottom w:val="none" w:sz="0" w:space="0" w:color="auto"/>
        <w:right w:val="none" w:sz="0" w:space="0" w:color="auto"/>
      </w:divBdr>
    </w:div>
    <w:div w:id="19139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B604-457B-46A3-8A12-D6D60F15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Kux - Nicole Kunze</dc:creator>
  <cp:keywords/>
  <dc:description/>
  <cp:lastModifiedBy>Kux - Nicole Kunze</cp:lastModifiedBy>
  <cp:revision>2</cp:revision>
  <dcterms:created xsi:type="dcterms:W3CDTF">2017-05-10T12:11:00Z</dcterms:created>
  <dcterms:modified xsi:type="dcterms:W3CDTF">2017-05-10T12:11:00Z</dcterms:modified>
</cp:coreProperties>
</file>